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08" w:rsidRPr="00D845D1" w:rsidRDefault="00D845D1" w:rsidP="00D845D1">
      <w:pPr>
        <w:pStyle w:val="NoSpacing"/>
        <w:rPr>
          <w:b/>
          <w:sz w:val="28"/>
        </w:rPr>
      </w:pPr>
      <w:r w:rsidRPr="00D845D1">
        <w:rPr>
          <w:b/>
          <w:sz w:val="28"/>
        </w:rPr>
        <w:t>New Horizons REX Data Set Review</w:t>
      </w:r>
    </w:p>
    <w:p w:rsidR="00D845D1" w:rsidRDefault="00D845D1" w:rsidP="00D845D1">
      <w:pPr>
        <w:pStyle w:val="NoSpacing"/>
      </w:pPr>
      <w:r>
        <w:t>Reviewer: Dustin Buccino</w:t>
      </w:r>
    </w:p>
    <w:p w:rsidR="00D845D1" w:rsidRDefault="00D845D1" w:rsidP="00D845D1">
      <w:pPr>
        <w:pStyle w:val="NoSpacing"/>
      </w:pPr>
    </w:p>
    <w:p w:rsidR="00642706" w:rsidRPr="00642706" w:rsidRDefault="00642706" w:rsidP="00D845D1">
      <w:pPr>
        <w:pStyle w:val="NoSpacing"/>
        <w:rPr>
          <w:b/>
          <w:sz w:val="24"/>
          <w:u w:val="single"/>
        </w:rPr>
      </w:pPr>
      <w:r w:rsidRPr="00642706">
        <w:rPr>
          <w:b/>
          <w:sz w:val="24"/>
          <w:u w:val="single"/>
        </w:rPr>
        <w:t>Summary</w:t>
      </w:r>
    </w:p>
    <w:p w:rsidR="00642706" w:rsidRDefault="00642706" w:rsidP="00D845D1">
      <w:pPr>
        <w:pStyle w:val="NoSpacing"/>
      </w:pPr>
    </w:p>
    <w:p w:rsidR="00642706" w:rsidRDefault="00606910" w:rsidP="00D845D1">
      <w:pPr>
        <w:pStyle w:val="NoSpacing"/>
      </w:pPr>
      <w:r>
        <w:t xml:space="preserve">The Level 2 and Level 3 REX </w:t>
      </w:r>
      <w:proofErr w:type="gramStart"/>
      <w:r>
        <w:t>datasets</w:t>
      </w:r>
      <w:proofErr w:type="gramEnd"/>
      <w:r>
        <w:t xml:space="preserve"> from the New Horizons Pluto encounter are well documented and referenced. The standard format FITS-packed data are easy to extract and analyze. The comments </w:t>
      </w:r>
      <w:r w:rsidR="00C11FDF">
        <w:t xml:space="preserve">below are </w:t>
      </w:r>
      <w:r>
        <w:t xml:space="preserve">mostly clarification and to improve ease-of-use. </w:t>
      </w:r>
    </w:p>
    <w:p w:rsidR="00606910" w:rsidRDefault="00606910" w:rsidP="00D845D1">
      <w:pPr>
        <w:pStyle w:val="NoSpacing"/>
      </w:pPr>
    </w:p>
    <w:p w:rsidR="00D845D1" w:rsidRDefault="00CA7147" w:rsidP="00D845D1">
      <w:pPr>
        <w:pStyle w:val="NoSpacing"/>
        <w:rPr>
          <w:b/>
          <w:sz w:val="24"/>
          <w:u w:val="single"/>
        </w:rPr>
      </w:pPr>
      <w:r>
        <w:rPr>
          <w:b/>
          <w:sz w:val="24"/>
          <w:u w:val="single"/>
        </w:rPr>
        <w:t>Data</w:t>
      </w:r>
    </w:p>
    <w:p w:rsidR="00D845D1" w:rsidRPr="00D845D1" w:rsidRDefault="00D845D1" w:rsidP="00D845D1">
      <w:pPr>
        <w:pStyle w:val="NoSpacing"/>
        <w:rPr>
          <w:b/>
          <w:sz w:val="24"/>
          <w:u w:val="single"/>
        </w:rPr>
      </w:pPr>
    </w:p>
    <w:p w:rsidR="00C3022B" w:rsidRDefault="00C3022B" w:rsidP="00A143C4">
      <w:pPr>
        <w:pStyle w:val="NoSpacing"/>
        <w:numPr>
          <w:ilvl w:val="0"/>
          <w:numId w:val="2"/>
        </w:numPr>
      </w:pPr>
      <w:r>
        <w:t>The FITS-packed data are well documented and labeled. The standardized format and similarities between the datasets make it easy to extract the relevant data</w:t>
      </w:r>
    </w:p>
    <w:p w:rsidR="008E3D6A" w:rsidRDefault="00D75E49" w:rsidP="00A143C4">
      <w:pPr>
        <w:pStyle w:val="NoSpacing"/>
        <w:numPr>
          <w:ilvl w:val="0"/>
          <w:numId w:val="2"/>
        </w:numPr>
      </w:pPr>
      <w:r>
        <w:t xml:space="preserve">I was able to interpret </w:t>
      </w:r>
      <w:r w:rsidR="0010560B">
        <w:t xml:space="preserve">a set </w:t>
      </w:r>
      <w:r>
        <w:t xml:space="preserve">of the data files using the provided python code sample </w:t>
      </w:r>
    </w:p>
    <w:p w:rsidR="00D75E49" w:rsidRDefault="00D75E49" w:rsidP="000E6FE0">
      <w:pPr>
        <w:pStyle w:val="NoSpacing"/>
        <w:numPr>
          <w:ilvl w:val="1"/>
          <w:numId w:val="2"/>
        </w:numPr>
      </w:pPr>
      <w:r>
        <w:t>newrex_py.py uses “</w:t>
      </w:r>
      <w:proofErr w:type="spellStart"/>
      <w:r>
        <w:t>pyfits</w:t>
      </w:r>
      <w:proofErr w:type="spellEnd"/>
      <w:r>
        <w:t>” library but only “</w:t>
      </w:r>
      <w:proofErr w:type="spellStart"/>
      <w:r w:rsidR="00642706">
        <w:t>a</w:t>
      </w:r>
      <w:r>
        <w:t>stropy</w:t>
      </w:r>
      <w:proofErr w:type="spellEnd"/>
      <w:r>
        <w:t>” is referenced in aareadme.txt</w:t>
      </w:r>
      <w:r w:rsidR="000E6FE0">
        <w:t xml:space="preserve">, </w:t>
      </w:r>
      <w:r>
        <w:t>“</w:t>
      </w:r>
      <w:proofErr w:type="spellStart"/>
      <w:r>
        <w:t>astropy.io.fits</w:t>
      </w:r>
      <w:proofErr w:type="spellEnd"/>
      <w:r>
        <w:t>” is functionally the same as “</w:t>
      </w:r>
      <w:proofErr w:type="spellStart"/>
      <w:r>
        <w:t>pyfits</w:t>
      </w:r>
      <w:proofErr w:type="spellEnd"/>
      <w:r>
        <w:t>”</w:t>
      </w:r>
      <w:r w:rsidR="001A2F7F">
        <w:t>, so I needed to slightly modify the code to account for the library change</w:t>
      </w:r>
    </w:p>
    <w:p w:rsidR="000E6FE0" w:rsidRDefault="000E6FE0" w:rsidP="000E6FE0">
      <w:pPr>
        <w:pStyle w:val="NoSpacing"/>
        <w:numPr>
          <w:ilvl w:val="1"/>
          <w:numId w:val="2"/>
        </w:numPr>
      </w:pPr>
      <w:r>
        <w:t>I confirmed the IQ and radiometer values match in the *.fit/*.</w:t>
      </w:r>
      <w:proofErr w:type="spellStart"/>
      <w:r>
        <w:t>asc</w:t>
      </w:r>
      <w:proofErr w:type="spellEnd"/>
      <w:r>
        <w:t xml:space="preserve"> sample files</w:t>
      </w:r>
      <w:r w:rsidR="00642706">
        <w:t xml:space="preserve"> in the document/samples/ directory</w:t>
      </w:r>
    </w:p>
    <w:p w:rsidR="00642706" w:rsidRDefault="008E3D6A" w:rsidP="000E6FE0">
      <w:pPr>
        <w:pStyle w:val="NoSpacing"/>
        <w:numPr>
          <w:ilvl w:val="1"/>
          <w:numId w:val="2"/>
        </w:numPr>
      </w:pPr>
      <w:r>
        <w:t>I was able to get frequency</w:t>
      </w:r>
      <w:r w:rsidR="00661149">
        <w:t xml:space="preserve"> and power</w:t>
      </w:r>
      <w:r>
        <w:t xml:space="preserve"> estimates from the IQ data</w:t>
      </w:r>
      <w:r w:rsidR="003957C9">
        <w:t xml:space="preserve"> using pre-existing software tools</w:t>
      </w:r>
      <w:r>
        <w:t xml:space="preserve"> </w:t>
      </w:r>
      <w:r w:rsidR="008865F2">
        <w:t xml:space="preserve">from Side A </w:t>
      </w:r>
      <w:r>
        <w:t>(see below), which look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452"/>
      </w:tblGrid>
      <w:tr w:rsidR="002A4829" w:rsidTr="00642706">
        <w:tc>
          <w:tcPr>
            <w:tcW w:w="4675" w:type="dxa"/>
          </w:tcPr>
          <w:p w:rsidR="00642706" w:rsidRPr="00796948" w:rsidRDefault="002A4829" w:rsidP="002A093D">
            <w:pPr>
              <w:pStyle w:val="NoSpacing"/>
              <w:jc w:val="center"/>
              <w:rPr>
                <w:b/>
              </w:rPr>
            </w:pPr>
            <w:r w:rsidRPr="00796948">
              <w:rPr>
                <w:b/>
              </w:rPr>
              <w:t>Level 2 Dataset</w:t>
            </w:r>
          </w:p>
          <w:p w:rsidR="00642706" w:rsidRPr="00796948" w:rsidRDefault="00642706" w:rsidP="00661149">
            <w:pPr>
              <w:pStyle w:val="NoSpacing"/>
              <w:rPr>
                <w:b/>
              </w:rPr>
            </w:pPr>
            <w:r w:rsidRPr="00796948">
              <w:rPr>
                <w:b/>
                <w:noProof/>
              </w:rPr>
              <w:drawing>
                <wp:inline distT="0" distB="0" distL="0" distR="0" wp14:anchorId="721710C9" wp14:editId="79EBF07E">
                  <wp:extent cx="3209925" cy="1754144"/>
                  <wp:effectExtent l="0" t="0" r="0" b="0"/>
                  <wp:docPr id="1" name="Picture 1" descr="C:\Users\dbuccino\Desktop\fig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ccino\Desktop\figur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8199" cy="1791454"/>
                          </a:xfrm>
                          <a:prstGeom prst="rect">
                            <a:avLst/>
                          </a:prstGeom>
                          <a:noFill/>
                          <a:ln>
                            <a:noFill/>
                          </a:ln>
                        </pic:spPr>
                      </pic:pic>
                    </a:graphicData>
                  </a:graphic>
                </wp:inline>
              </w:drawing>
            </w:r>
          </w:p>
          <w:p w:rsidR="002C60AA" w:rsidRPr="00796948" w:rsidRDefault="002C60AA" w:rsidP="00661149">
            <w:pPr>
              <w:pStyle w:val="NoSpacing"/>
              <w:rPr>
                <w:b/>
              </w:rPr>
            </w:pPr>
            <w:r w:rsidRPr="00796948">
              <w:rPr>
                <w:b/>
                <w:noProof/>
              </w:rPr>
              <w:drawing>
                <wp:inline distT="0" distB="0" distL="0" distR="0" wp14:anchorId="14D29F1C" wp14:editId="6F2EA9FE">
                  <wp:extent cx="3236974" cy="1685925"/>
                  <wp:effectExtent l="0" t="0" r="1905" b="0"/>
                  <wp:docPr id="3" name="Picture 3" descr="C:\Users\dbuccino\Desktop\figur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uccino\Desktop\figure_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18"/>
                          <a:stretch/>
                        </pic:blipFill>
                        <pic:spPr bwMode="auto">
                          <a:xfrm>
                            <a:off x="0" y="0"/>
                            <a:ext cx="3269977" cy="17031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rsidR="00642706" w:rsidRPr="00796948" w:rsidRDefault="002A4829" w:rsidP="002A093D">
            <w:pPr>
              <w:pStyle w:val="NoSpacing"/>
              <w:jc w:val="center"/>
              <w:rPr>
                <w:b/>
              </w:rPr>
            </w:pPr>
            <w:r w:rsidRPr="00796948">
              <w:rPr>
                <w:b/>
              </w:rPr>
              <w:t>Level 3 Dataset</w:t>
            </w:r>
          </w:p>
          <w:p w:rsidR="002A093D" w:rsidRPr="00796948" w:rsidRDefault="00661149" w:rsidP="00661149">
            <w:pPr>
              <w:pStyle w:val="NoSpacing"/>
              <w:jc w:val="both"/>
              <w:rPr>
                <w:b/>
              </w:rPr>
            </w:pPr>
            <w:r w:rsidRPr="00796948">
              <w:rPr>
                <w:b/>
                <w:noProof/>
              </w:rPr>
              <w:drawing>
                <wp:inline distT="0" distB="0" distL="0" distR="0" wp14:anchorId="78D796C3" wp14:editId="01BF9E2C">
                  <wp:extent cx="2909564" cy="1781175"/>
                  <wp:effectExtent l="0" t="0" r="5715" b="0"/>
                  <wp:docPr id="2" name="Picture 2" descr="C:\Users\dbuccino\Desktop\fig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ccino\Desktop\figur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2154" cy="1819491"/>
                          </a:xfrm>
                          <a:prstGeom prst="rect">
                            <a:avLst/>
                          </a:prstGeom>
                          <a:noFill/>
                          <a:ln>
                            <a:noFill/>
                          </a:ln>
                        </pic:spPr>
                      </pic:pic>
                    </a:graphicData>
                  </a:graphic>
                </wp:inline>
              </w:drawing>
            </w:r>
          </w:p>
          <w:p w:rsidR="002C60AA" w:rsidRPr="00796948" w:rsidRDefault="002C60AA" w:rsidP="00661149">
            <w:pPr>
              <w:pStyle w:val="NoSpacing"/>
              <w:jc w:val="both"/>
              <w:rPr>
                <w:b/>
              </w:rPr>
            </w:pPr>
            <w:r w:rsidRPr="00796948">
              <w:rPr>
                <w:b/>
                <w:noProof/>
              </w:rPr>
              <w:drawing>
                <wp:inline distT="0" distB="0" distL="0" distR="0">
                  <wp:extent cx="2924175" cy="1569870"/>
                  <wp:effectExtent l="0" t="0" r="0" b="0"/>
                  <wp:docPr id="4" name="Picture 4" descr="C:\Users\dbuccino\Desktop\figur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uccino\Desktop\figure_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460"/>
                          <a:stretch/>
                        </pic:blipFill>
                        <pic:spPr bwMode="auto">
                          <a:xfrm>
                            <a:off x="0" y="0"/>
                            <a:ext cx="2959793" cy="15889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42706" w:rsidRDefault="00642706" w:rsidP="00642706">
      <w:pPr>
        <w:pStyle w:val="NoSpacing"/>
      </w:pPr>
    </w:p>
    <w:p w:rsidR="00186BE8" w:rsidRDefault="00186BE8" w:rsidP="00103501">
      <w:pPr>
        <w:pStyle w:val="NoSpacing"/>
        <w:numPr>
          <w:ilvl w:val="0"/>
          <w:numId w:val="2"/>
        </w:numPr>
      </w:pPr>
      <w:r>
        <w:t xml:space="preserve">I was unable to </w:t>
      </w:r>
      <w:r w:rsidR="008A2567">
        <w:t>find any documentation in the archive on how to compute a sky-level frequency from the observed frequencies. The rex_ssr.pdf and rex.cat files goes</w:t>
      </w:r>
      <w:bookmarkStart w:id="0" w:name="_GoBack"/>
      <w:bookmarkEnd w:id="0"/>
      <w:r w:rsidR="008A2567">
        <w:t xml:space="preserve"> into some detail on RF system but there is no obvious equation or method shown</w:t>
      </w:r>
    </w:p>
    <w:p w:rsidR="008A2567" w:rsidRPr="008A2567" w:rsidRDefault="008A2567" w:rsidP="008A2567">
      <w:pPr>
        <w:pStyle w:val="NoSpacing"/>
        <w:numPr>
          <w:ilvl w:val="1"/>
          <w:numId w:val="2"/>
        </w:numPr>
        <w:rPr>
          <w:rFonts w:eastAsiaTheme="minorEastAsia"/>
        </w:rPr>
      </w:pPr>
      <w:r>
        <w:lastRenderedPageBreak/>
        <w:t>The telecom papers referenced in rex_ssr.pdf go into the RF/IF</w:t>
      </w:r>
      <w:r w:rsidR="002342F7">
        <w:t xml:space="preserve"> system in detail</w:t>
      </w:r>
      <w:r>
        <w:t xml:space="preserve"> (but are not included in the archive)</w:t>
      </w:r>
    </w:p>
    <w:p w:rsidR="00103501" w:rsidRDefault="00103501" w:rsidP="0021570A">
      <w:pPr>
        <w:pStyle w:val="NoSpacing"/>
        <w:numPr>
          <w:ilvl w:val="0"/>
          <w:numId w:val="2"/>
        </w:numPr>
      </w:pPr>
      <w:r>
        <w:t>The level 2 and level 3 dataset share nearly identical documentation, which I think is appropriate after reading on the calibration scheme and the difference between the two datasets</w:t>
      </w:r>
    </w:p>
    <w:p w:rsidR="00A143C4" w:rsidRDefault="00A143C4" w:rsidP="00146143">
      <w:pPr>
        <w:pStyle w:val="NoSpacing"/>
        <w:ind w:left="360"/>
      </w:pPr>
    </w:p>
    <w:p w:rsidR="00CA7147" w:rsidRDefault="00CA7147" w:rsidP="00D845D1">
      <w:pPr>
        <w:pStyle w:val="NoSpacing"/>
        <w:rPr>
          <w:b/>
          <w:sz w:val="24"/>
          <w:u w:val="single"/>
        </w:rPr>
      </w:pPr>
      <w:r>
        <w:rPr>
          <w:b/>
          <w:sz w:val="24"/>
          <w:u w:val="single"/>
        </w:rPr>
        <w:t>File Specific Comments</w:t>
      </w:r>
    </w:p>
    <w:p w:rsidR="00CA7147" w:rsidRDefault="00CA7147" w:rsidP="00D845D1">
      <w:pPr>
        <w:pStyle w:val="NoSpacing"/>
      </w:pPr>
    </w:p>
    <w:p w:rsidR="00CA7147" w:rsidRDefault="00CA7147" w:rsidP="00D845D1">
      <w:pPr>
        <w:pStyle w:val="NoSpacing"/>
      </w:pPr>
      <w:r>
        <w:t>These comments, unless otherwise noted, apply to both the level 2 and level 3 dataset</w:t>
      </w:r>
      <w:r w:rsidR="00706F6D">
        <w:t>, due to the similarities between the datasets.</w:t>
      </w:r>
    </w:p>
    <w:p w:rsidR="00CA7147" w:rsidRPr="00CA7147" w:rsidRDefault="00CA7147" w:rsidP="00D845D1">
      <w:pPr>
        <w:pStyle w:val="NoSpacing"/>
      </w:pPr>
    </w:p>
    <w:tbl>
      <w:tblPr>
        <w:tblStyle w:val="ListTable1Light"/>
        <w:tblW w:w="0" w:type="auto"/>
        <w:tblLayout w:type="fixed"/>
        <w:tblLook w:val="04A0" w:firstRow="1" w:lastRow="0" w:firstColumn="1" w:lastColumn="0" w:noHBand="0" w:noVBand="1"/>
      </w:tblPr>
      <w:tblGrid>
        <w:gridCol w:w="3690"/>
        <w:gridCol w:w="5670"/>
      </w:tblGrid>
      <w:tr w:rsidR="00D845D1" w:rsidTr="00E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D845D1" w:rsidRDefault="00D845D1" w:rsidP="00D3118B">
            <w:pPr>
              <w:pStyle w:val="NoSpacing"/>
            </w:pPr>
            <w:r>
              <w:t>Filename</w:t>
            </w:r>
          </w:p>
        </w:tc>
        <w:tc>
          <w:tcPr>
            <w:tcW w:w="5670" w:type="dxa"/>
          </w:tcPr>
          <w:p w:rsidR="00D845D1" w:rsidRDefault="00D845D1" w:rsidP="00D3118B">
            <w:pPr>
              <w:pStyle w:val="NoSpacing"/>
              <w:cnfStyle w:val="100000000000" w:firstRow="1" w:lastRow="0" w:firstColumn="0" w:lastColumn="0" w:oddVBand="0" w:evenVBand="0" w:oddHBand="0" w:evenHBand="0" w:firstRowFirstColumn="0" w:firstRowLastColumn="0" w:lastRowFirstColumn="0" w:lastRowLastColumn="0"/>
            </w:pPr>
            <w:r>
              <w:t>Comment</w:t>
            </w:r>
          </w:p>
        </w:tc>
      </w:tr>
      <w:tr w:rsidR="00D845D1" w:rsidTr="00E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D845D1" w:rsidRDefault="00146143" w:rsidP="00D3118B">
            <w:pPr>
              <w:pStyle w:val="NoSpacing"/>
            </w:pPr>
            <w:r>
              <w:t>aareadme.txt</w:t>
            </w:r>
          </w:p>
        </w:tc>
        <w:tc>
          <w:tcPr>
            <w:tcW w:w="5670" w:type="dxa"/>
          </w:tcPr>
          <w:p w:rsidR="00146143" w:rsidRDefault="00146143" w:rsidP="00321AF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 xml:space="preserve">Once the tracking dataset (for gravity studies) is complete it would be useful if the aareadme.txt was updated with the data set ID of this dataset so users can find it </w:t>
            </w:r>
            <w:r w:rsidR="00AE55BC">
              <w:t>quickly (and vice-versa, the tracking dataset should have the data set ID which contains the REX data)</w:t>
            </w:r>
          </w:p>
        </w:tc>
      </w:tr>
      <w:tr w:rsidR="00AE55BC" w:rsidTr="00E53744">
        <w:tc>
          <w:tcPr>
            <w:cnfStyle w:val="001000000000" w:firstRow="0" w:lastRow="0" w:firstColumn="1" w:lastColumn="0" w:oddVBand="0" w:evenVBand="0" w:oddHBand="0" w:evenHBand="0" w:firstRowFirstColumn="0" w:firstRowLastColumn="0" w:lastRowFirstColumn="0" w:lastRowLastColumn="0"/>
            <w:tcW w:w="3690" w:type="dxa"/>
          </w:tcPr>
          <w:p w:rsidR="00AE55BC" w:rsidRDefault="00027C30" w:rsidP="00D3118B">
            <w:pPr>
              <w:pStyle w:val="NoSpacing"/>
            </w:pPr>
            <w:r>
              <w:t>catalog/</w:t>
            </w:r>
            <w:r w:rsidR="00AE55BC">
              <w:t>dataset.cat</w:t>
            </w:r>
          </w:p>
        </w:tc>
        <w:tc>
          <w:tcPr>
            <w:tcW w:w="5670" w:type="dxa"/>
          </w:tcPr>
          <w:p w:rsidR="00AE55BC" w:rsidRDefault="004109D5" w:rsidP="004109D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 xml:space="preserve">First paragraph, second line </w:t>
            </w:r>
            <w:r w:rsidR="000B48B1">
              <w:t>should be tabbed or additional newlines should be added to separate it from the rest of the paragraph</w:t>
            </w:r>
          </w:p>
          <w:p w:rsidR="004109D5" w:rsidRDefault="004109D5" w:rsidP="004109D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Filenames/Product IDs naming convention description is not tabbed properly</w:t>
            </w:r>
            <w:r w:rsidR="000B48B1">
              <w:t xml:space="preserve"> (the arrows don’t align with the filename)</w:t>
            </w:r>
          </w:p>
          <w:p w:rsidR="004109D5" w:rsidRDefault="004109D5" w:rsidP="004109D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The notes from the aareadme.txt naming convention should also be in the dataset.cat naming convention, i.e. Note FN1 and FN2.</w:t>
            </w:r>
          </w:p>
          <w:p w:rsidR="004109D5" w:rsidRDefault="004109D5" w:rsidP="000B48B1">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dataset.cat lists in the Software section that no special software is included, but there are code samples in the document/</w:t>
            </w:r>
            <w:proofErr w:type="spellStart"/>
            <w:r>
              <w:t>codesamples</w:t>
            </w:r>
            <w:proofErr w:type="spellEnd"/>
            <w:r>
              <w:t>/ directory</w:t>
            </w:r>
          </w:p>
        </w:tc>
      </w:tr>
      <w:tr w:rsidR="000B48B1" w:rsidTr="00E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B48B1" w:rsidRDefault="00027C30" w:rsidP="00D3118B">
            <w:pPr>
              <w:pStyle w:val="NoSpacing"/>
            </w:pPr>
            <w:r>
              <w:t>catalog/</w:t>
            </w:r>
            <w:r w:rsidR="001B3866">
              <w:t>nhsc.cat</w:t>
            </w:r>
          </w:p>
        </w:tc>
        <w:tc>
          <w:tcPr>
            <w:tcW w:w="5670" w:type="dxa"/>
          </w:tcPr>
          <w:p w:rsidR="000B48B1" w:rsidRDefault="001B3866" w:rsidP="001B3866">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Section on propulsion mentions a “Figure 5” but there is no such figure in the catalog file</w:t>
            </w:r>
          </w:p>
        </w:tc>
      </w:tr>
      <w:tr w:rsidR="000B48B1" w:rsidTr="00E53744">
        <w:tc>
          <w:tcPr>
            <w:cnfStyle w:val="001000000000" w:firstRow="0" w:lastRow="0" w:firstColumn="1" w:lastColumn="0" w:oddVBand="0" w:evenVBand="0" w:oddHBand="0" w:evenHBand="0" w:firstRowFirstColumn="0" w:firstRowLastColumn="0" w:lastRowFirstColumn="0" w:lastRowLastColumn="0"/>
            <w:tcW w:w="3690" w:type="dxa"/>
          </w:tcPr>
          <w:p w:rsidR="000B48B1" w:rsidRDefault="00027C30" w:rsidP="00D3118B">
            <w:pPr>
              <w:pStyle w:val="NoSpacing"/>
            </w:pPr>
            <w:r>
              <w:t>catalog/</w:t>
            </w:r>
            <w:r w:rsidR="001B3866">
              <w:t>rex.cat</w:t>
            </w:r>
          </w:p>
        </w:tc>
        <w:tc>
          <w:tcPr>
            <w:tcW w:w="5670" w:type="dxa"/>
          </w:tcPr>
          <w:p w:rsidR="000B48B1" w:rsidRDefault="001B3866" w:rsidP="004109D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There are two headers for “INSTRUMENT OVERVIEW – FLIGHT ELEMENT”</w:t>
            </w:r>
          </w:p>
          <w:p w:rsidR="0068443D" w:rsidRDefault="0068443D" w:rsidP="004109D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DSS-35 was operational in 2015 but is not listed in the “Subsystems – DSN” section</w:t>
            </w:r>
            <w:r w:rsidR="005D6D3D">
              <w:t xml:space="preserve"> or “Location – DSN” section</w:t>
            </w:r>
            <w:r w:rsidR="00070025">
              <w:t>. (No need to add it unless DSS-35 was used by New Horizons)</w:t>
            </w:r>
          </w:p>
          <w:p w:rsidR="0068443D" w:rsidRDefault="0068443D" w:rsidP="0068443D">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 xml:space="preserve">Under “DSCC Transmitter Subsystem”, the last </w:t>
            </w:r>
            <w:r w:rsidR="005D6D3D">
              <w:t>sentence</w:t>
            </w:r>
            <w:r>
              <w:t xml:space="preserve"> says power levels above 20 kW are available only at 70-m stations. 80 kW transmitters are being installed at the 34-m stations, and some are operational today. Was the REX experiment limited to the 20 kW</w:t>
            </w:r>
            <w:r w:rsidR="005D6D3D">
              <w:t xml:space="preserve"> transmitters</w:t>
            </w:r>
            <w:r>
              <w:t>?</w:t>
            </w:r>
          </w:p>
          <w:p w:rsidR="0068443D" w:rsidRDefault="005D6D3D" w:rsidP="005D6D3D">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Acronyms section, “NIST” says “SPC 10 time relative to UTC [???]”, with question marks. (National Institute of Standards and Technology?)</w:t>
            </w:r>
          </w:p>
        </w:tc>
      </w:tr>
      <w:tr w:rsidR="00027C30" w:rsidRPr="000B48B1" w:rsidTr="00E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27C30" w:rsidRPr="00E53744" w:rsidRDefault="0052610E" w:rsidP="00D3118B">
            <w:pPr>
              <w:pStyle w:val="NoSpacing"/>
            </w:pPr>
            <w:r w:rsidRPr="00E53744">
              <w:lastRenderedPageBreak/>
              <w:t>document/docinfo.txt</w:t>
            </w:r>
          </w:p>
        </w:tc>
        <w:tc>
          <w:tcPr>
            <w:tcW w:w="5670" w:type="dxa"/>
          </w:tcPr>
          <w:p w:rsidR="00027C30" w:rsidRDefault="0052610E" w:rsidP="004109D5">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It would be helpful if the document listing were in alphabetical order</w:t>
            </w:r>
            <w:r w:rsidR="00E53744">
              <w:t xml:space="preserve"> so they appear in the same order when listing the directory</w:t>
            </w:r>
          </w:p>
        </w:tc>
      </w:tr>
      <w:tr w:rsidR="00027C30" w:rsidRPr="000B48B1" w:rsidTr="00E53744">
        <w:tc>
          <w:tcPr>
            <w:cnfStyle w:val="001000000000" w:firstRow="0" w:lastRow="0" w:firstColumn="1" w:lastColumn="0" w:oddVBand="0" w:evenVBand="0" w:oddHBand="0" w:evenHBand="0" w:firstRowFirstColumn="0" w:firstRowLastColumn="0" w:lastRowFirstColumn="0" w:lastRowLastColumn="0"/>
            <w:tcW w:w="3690" w:type="dxa"/>
          </w:tcPr>
          <w:p w:rsidR="00027C30" w:rsidRPr="00E53744" w:rsidRDefault="00D75E49" w:rsidP="00D3118B">
            <w:pPr>
              <w:pStyle w:val="NoSpacing"/>
            </w:pPr>
            <w:r w:rsidRPr="00E53744">
              <w:t>document/</w:t>
            </w:r>
            <w:proofErr w:type="spellStart"/>
            <w:r w:rsidRPr="00E53744">
              <w:t>codesamples</w:t>
            </w:r>
            <w:proofErr w:type="spellEnd"/>
            <w:r w:rsidRPr="00E53744">
              <w:t>/codeinfo.txt</w:t>
            </w:r>
          </w:p>
        </w:tc>
        <w:tc>
          <w:tcPr>
            <w:tcW w:w="5670" w:type="dxa"/>
          </w:tcPr>
          <w:p w:rsidR="00027C30" w:rsidRDefault="00D75E49" w:rsidP="00D75E49">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IDL and Python notes that it requires supporting libraries. The libraries are listed in aareadme.txt but would be beneficial to also list here.</w:t>
            </w:r>
          </w:p>
        </w:tc>
      </w:tr>
      <w:tr w:rsidR="00027C30" w:rsidRPr="000B48B1" w:rsidTr="00E53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027C30" w:rsidRPr="00706F6D" w:rsidRDefault="00103501" w:rsidP="00D3118B">
            <w:pPr>
              <w:pStyle w:val="NoSpacing"/>
            </w:pPr>
            <w:r w:rsidRPr="00706F6D">
              <w:t>data/</w:t>
            </w:r>
            <w:proofErr w:type="spellStart"/>
            <w:r w:rsidRPr="00706F6D">
              <w:t>yyyymmdd_tttttt</w:t>
            </w:r>
            <w:proofErr w:type="spellEnd"/>
            <w:r w:rsidRPr="00706F6D">
              <w:t>/*.</w:t>
            </w:r>
            <w:proofErr w:type="spellStart"/>
            <w:r w:rsidRPr="00706F6D">
              <w:t>lbl</w:t>
            </w:r>
            <w:proofErr w:type="spellEnd"/>
          </w:p>
        </w:tc>
        <w:tc>
          <w:tcPr>
            <w:tcW w:w="5670" w:type="dxa"/>
          </w:tcPr>
          <w:p w:rsidR="00027C30" w:rsidRDefault="00706F6D" w:rsidP="008C66E0">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The SPICE_FILE_NAME includes CK and SPK. Were only time transformations applied</w:t>
            </w:r>
            <w:r w:rsidR="008C66E0">
              <w:t>?</w:t>
            </w:r>
          </w:p>
        </w:tc>
      </w:tr>
    </w:tbl>
    <w:p w:rsidR="00D845D1" w:rsidRDefault="00D845D1" w:rsidP="00D845D1">
      <w:pPr>
        <w:pStyle w:val="NoSpacing"/>
      </w:pPr>
    </w:p>
    <w:sectPr w:rsidR="00D845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4F" w:rsidRDefault="0002294F" w:rsidP="00CA18BB">
      <w:pPr>
        <w:spacing w:after="0" w:line="240" w:lineRule="auto"/>
      </w:pPr>
      <w:r>
        <w:separator/>
      </w:r>
    </w:p>
  </w:endnote>
  <w:endnote w:type="continuationSeparator" w:id="0">
    <w:p w:rsidR="0002294F" w:rsidRDefault="0002294F" w:rsidP="00CA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964827"/>
      <w:docPartObj>
        <w:docPartGallery w:val="Page Numbers (Bottom of Page)"/>
        <w:docPartUnique/>
      </w:docPartObj>
    </w:sdtPr>
    <w:sdtEndPr>
      <w:rPr>
        <w:noProof/>
      </w:rPr>
    </w:sdtEndPr>
    <w:sdtContent>
      <w:p w:rsidR="00CA18BB" w:rsidRDefault="00CA1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18BB" w:rsidRDefault="00CA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4F" w:rsidRDefault="0002294F" w:rsidP="00CA18BB">
      <w:pPr>
        <w:spacing w:after="0" w:line="240" w:lineRule="auto"/>
      </w:pPr>
      <w:r>
        <w:separator/>
      </w:r>
    </w:p>
  </w:footnote>
  <w:footnote w:type="continuationSeparator" w:id="0">
    <w:p w:rsidR="0002294F" w:rsidRDefault="0002294F" w:rsidP="00CA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2E52"/>
    <w:multiLevelType w:val="hybridMultilevel"/>
    <w:tmpl w:val="95AE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C57E7"/>
    <w:multiLevelType w:val="hybridMultilevel"/>
    <w:tmpl w:val="6854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D1"/>
    <w:rsid w:val="0002294F"/>
    <w:rsid w:val="00027C30"/>
    <w:rsid w:val="00070025"/>
    <w:rsid w:val="000B48B1"/>
    <w:rsid w:val="000E6FE0"/>
    <w:rsid w:val="00103501"/>
    <w:rsid w:val="0010560B"/>
    <w:rsid w:val="00146143"/>
    <w:rsid w:val="00186BE8"/>
    <w:rsid w:val="001A2F7F"/>
    <w:rsid w:val="001B3866"/>
    <w:rsid w:val="0021570A"/>
    <w:rsid w:val="002342F7"/>
    <w:rsid w:val="002A093D"/>
    <w:rsid w:val="002A4829"/>
    <w:rsid w:val="002C60AA"/>
    <w:rsid w:val="00321AFE"/>
    <w:rsid w:val="003957C9"/>
    <w:rsid w:val="003A018F"/>
    <w:rsid w:val="004109D5"/>
    <w:rsid w:val="00420C84"/>
    <w:rsid w:val="0052610E"/>
    <w:rsid w:val="005D6D3D"/>
    <w:rsid w:val="00606910"/>
    <w:rsid w:val="006169D6"/>
    <w:rsid w:val="00642706"/>
    <w:rsid w:val="00661149"/>
    <w:rsid w:val="00662700"/>
    <w:rsid w:val="0068443D"/>
    <w:rsid w:val="00706F6D"/>
    <w:rsid w:val="00796948"/>
    <w:rsid w:val="0083320A"/>
    <w:rsid w:val="00877908"/>
    <w:rsid w:val="008865F2"/>
    <w:rsid w:val="008A2567"/>
    <w:rsid w:val="008C66E0"/>
    <w:rsid w:val="008D7C43"/>
    <w:rsid w:val="008E3D6A"/>
    <w:rsid w:val="008E73EC"/>
    <w:rsid w:val="00A143C4"/>
    <w:rsid w:val="00AE37F0"/>
    <w:rsid w:val="00AE55BC"/>
    <w:rsid w:val="00C11FDF"/>
    <w:rsid w:val="00C3022B"/>
    <w:rsid w:val="00CA18BB"/>
    <w:rsid w:val="00CA7147"/>
    <w:rsid w:val="00D75E49"/>
    <w:rsid w:val="00D845D1"/>
    <w:rsid w:val="00E5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A7EA-B440-459A-93E9-2BB5E03D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5D1"/>
    <w:pPr>
      <w:spacing w:after="0" w:line="240" w:lineRule="auto"/>
    </w:pPr>
  </w:style>
  <w:style w:type="table" w:styleId="TableGrid">
    <w:name w:val="Table Grid"/>
    <w:basedOn w:val="TableNormal"/>
    <w:uiPriority w:val="39"/>
    <w:rsid w:val="00D8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D845D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62700"/>
    <w:pPr>
      <w:ind w:left="720"/>
      <w:contextualSpacing/>
    </w:pPr>
  </w:style>
  <w:style w:type="character" w:styleId="PlaceholderText">
    <w:name w:val="Placeholder Text"/>
    <w:basedOn w:val="DefaultParagraphFont"/>
    <w:uiPriority w:val="99"/>
    <w:semiHidden/>
    <w:rsid w:val="008A2567"/>
    <w:rPr>
      <w:color w:val="808080"/>
    </w:rPr>
  </w:style>
  <w:style w:type="paragraph" w:styleId="Header">
    <w:name w:val="header"/>
    <w:basedOn w:val="Normal"/>
    <w:link w:val="HeaderChar"/>
    <w:uiPriority w:val="99"/>
    <w:unhideWhenUsed/>
    <w:rsid w:val="00CA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BB"/>
  </w:style>
  <w:style w:type="paragraph" w:styleId="Footer">
    <w:name w:val="footer"/>
    <w:basedOn w:val="Normal"/>
    <w:link w:val="FooterChar"/>
    <w:uiPriority w:val="99"/>
    <w:unhideWhenUsed/>
    <w:rsid w:val="00CA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Buccino, Dustin R (332K)</dc:creator>
  <cp:keywords/>
  <dc:description/>
  <cp:lastModifiedBy>Buccino, Dustin R (332K)</cp:lastModifiedBy>
  <cp:revision>31</cp:revision>
  <dcterms:created xsi:type="dcterms:W3CDTF">2016-04-25T17:56:00Z</dcterms:created>
  <dcterms:modified xsi:type="dcterms:W3CDTF">2016-05-05T20:20:00Z</dcterms:modified>
</cp:coreProperties>
</file>